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</w:pP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824140</wp:posOffset>
            </wp:positionH>
            <wp:positionV relativeFrom="page">
              <wp:posOffset>720000</wp:posOffset>
            </wp:positionV>
            <wp:extent cx="1095884" cy="883486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8" y="21599"/>
                <wp:lineTo x="21598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ihBier-BADBL_4c_M-tm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28130"/>
                    <a:stretch>
                      <a:fillRect/>
                    </a:stretch>
                  </pic:blipFill>
                  <pic:spPr>
                    <a:xfrm>
                      <a:off x="0" y="0"/>
                      <a:ext cx="1095884" cy="883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2175933</wp:posOffset>
            </wp:positionH>
            <wp:positionV relativeFrom="page">
              <wp:posOffset>982593</wp:posOffset>
            </wp:positionV>
            <wp:extent cx="1711733" cy="5739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GKu-Logo_4c_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33" cy="573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4823668</wp:posOffset>
                </wp:positionH>
                <wp:positionV relativeFrom="page">
                  <wp:posOffset>813765</wp:posOffset>
                </wp:positionV>
                <wp:extent cx="2325564" cy="77697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564" cy="7769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before="140"/>
                              <w:jc w:val="right"/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Brauerei-Gasthof Kundm</w:t>
                            </w:r>
                            <w:r>
                              <w:rPr>
                                <w:rFonts w:ascii="ITC Novarese Std Medium" w:hAnsi="ITC Novarese Std Medium" w:hint="default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ller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Weiher 13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96191 Viereth-Trunstadt</w:t>
                            </w:r>
                          </w:p>
                          <w:p>
                            <w:pPr>
                              <w:pStyle w:val="Text"/>
                              <w:spacing w:before="140"/>
                              <w:jc w:val="right"/>
                            </w:pP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lisa.luginger@brauerei-kundmueller.de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Mobil: +49 151 645 145 72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9.8pt;margin-top:64.1pt;width:183.1pt;height:61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before="140"/>
                        <w:jc w:val="right"/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</w:pP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Brauerei-Gasthof Kundm</w:t>
                      </w:r>
                      <w:r>
                        <w:rPr>
                          <w:rFonts w:ascii="ITC Novarese Std Medium" w:hAnsi="ITC Novarese Std Medium" w:hint="default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ller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Weiher 13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96191 Viereth-Trunstadt</w:t>
                      </w:r>
                    </w:p>
                    <w:p>
                      <w:pPr>
                        <w:pStyle w:val="Text"/>
                        <w:spacing w:before="140"/>
                        <w:jc w:val="right"/>
                      </w:pP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de-DE"/>
                        </w:rPr>
                        <w:t xml:space="preserve">E-Mail: </w:t>
                      </w: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en-US"/>
                        </w:rPr>
                        <w:t>lisa.luginger@brauerei-kundmueller.de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Mobil: +49 151 645 145 72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824140</wp:posOffset>
                </wp:positionH>
                <wp:positionV relativeFrom="page">
                  <wp:posOffset>2331227</wp:posOffset>
                </wp:positionV>
                <wp:extent cx="6252212" cy="1022448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2" cy="102244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caps w:val="1"/>
                                <w:spacing w:val="10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Pressemitteilung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</w:rPr>
                            </w:pPr>
                          </w:p>
                          <w:p>
                            <w:pPr>
                              <w:pStyle w:val="Text"/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Medaillenregen f</w:t>
                            </w:r>
                            <w:r>
                              <w:rPr>
                                <w:rFonts w:ascii="ITC Novarese Std Medium" w:hAnsi="ITC Novarese Std Medium" w:hint="default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r Weiherer Biere</w:t>
                            </w:r>
                          </w:p>
                          <w:p>
                            <w:pPr>
                              <w:pStyle w:val="Text"/>
                              <w:spacing w:before="140" w:line="264" w:lineRule="auto"/>
                              <w:rPr>
                                <w:rFonts w:ascii="ITC Novarese Std Book" w:cs="ITC Novarese Std Book" w:hAnsi="ITC Novarese Std Book" w:eastAsia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ller gewinnt 3 Auszeichnungen beim European Beer Star und 9 bei den World Beer Awards - erstmalig Preis f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r nachhaltige Betriebsf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hrung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0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Weiher, 14. September 2022</w:t>
                            </w:r>
                            <w:r>
                              <w:rPr>
                                <w:rFonts w:ascii="ITC Novarese Std Book" w:hAnsi="ITC Novarese Std Book" w:hint="default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–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Der Medaillenregen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Weiherer Bier rei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t nicht ab. Erneut h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at die 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ller drei Auszeichnungen beim European Beer Star gewonnen. Auf der Messe Drinktec in 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nchen durfte das Team um Inhaber Roland und Oswald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ller neben dem Future Award, einem Preis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besonders nachhaltige Betriebsf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hrung, die Goldmedaille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das Weiherer Summer Ale und Bronze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den Weiherer/Cervejaria Bamberg Rauchbock entgegen nehmen. Dieser wurde bereits kurz zuvor bei den World Beer Awards als Deutschlands bestes Rauchbier pr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miert  - neben 8 weiteren Medaillen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r die Weiherer Biere. </w:t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Das freut das ganze Team, allen voran Gesch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ftsf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hrer Roland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ller.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Dass wir in den vergangenen Jahren kontinuierlich bei vielen internationalen und wichtigen Awards ausgezeichnet werden, zeigt, wie wichtig uns die Qualit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t unserer Biere ist.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“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Und Bruder Oswald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ller weiter: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Wir sind sehr stolz, dass wir in diesem Jahr besonders Medaillen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Biere gewonnen haben, die nicht zu den klassischsten Bierstilen z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hlen. Wir leben Biervielfalt. Und das best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tigt uns, unseren Weg so weiter zu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gehen!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“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Besonders im Fokus steht in diesem Jahr der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erstmal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 vergebene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Future Award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r vorbildliche und nachhaltige Unternehmensf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hrung. Im Sinne des European Beer Star flie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t neben nachhaltigem Wirtschaften auch die sensorische Qualit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</w:rPr>
                              <w:t xml:space="preserve">t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 xml:space="preserve">–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also Aussehen, Geruch, Geschmack der Biere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 xml:space="preserve">–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in die Bewertung mit ein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“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so Stefan Stang, Hauptgesch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ftsf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hrer Private Brauereien Bayern e.V.,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ber den neu geschaffenen Award.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Die 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ller konnte als eine von drei Brauereien die Finaljury am meisten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berzeugen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 xml:space="preserve">–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sowohl aus Gesichtspunkten der Nachhaltigkeit als auch der Produktqualit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</w:rPr>
                              <w:t xml:space="preserve">t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 xml:space="preserve">–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und darf sich so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ber den erstmalig vergebenen Future Award freuen.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“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so Stang weiter.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4.9pt;margin-top:183.6pt;width:492.3pt;height:805.1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hAnsi="ITC Novarese Std Book"/>
                          <w:caps w:val="1"/>
                          <w:spacing w:val="10"/>
                          <w:sz w:val="26"/>
                          <w:szCs w:val="26"/>
                          <w:rtl w:val="0"/>
                          <w:lang w:val="de-DE"/>
                        </w:rPr>
                        <w:t>Pressemitteilung</w:t>
                      </w:r>
                    </w:p>
                    <w:p>
                      <w:pPr>
                        <w:pStyle w:val="Text"/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</w:rPr>
                      </w:pPr>
                    </w:p>
                    <w:p>
                      <w:pPr>
                        <w:pStyle w:val="Text"/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2"/>
                          <w:sz w:val="64"/>
                          <w:szCs w:val="64"/>
                        </w:rPr>
                      </w:pP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Medaillenregen f</w:t>
                      </w:r>
                      <w:r>
                        <w:rPr>
                          <w:rFonts w:ascii="ITC Novarese Std Medium" w:hAnsi="ITC Novarese Std Medium" w:hint="default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r Weiherer Biere</w:t>
                      </w:r>
                    </w:p>
                    <w:p>
                      <w:pPr>
                        <w:pStyle w:val="Text"/>
                        <w:spacing w:before="140" w:line="264" w:lineRule="auto"/>
                        <w:rPr>
                          <w:rFonts w:ascii="ITC Novarese Std Book" w:cs="ITC Novarese Std Book" w:hAnsi="ITC Novarese Std Book" w:eastAsia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</w:rPr>
                      </w:pP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Brauerei Kundm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ller gewinnt 3 Auszeichnungen beim European Beer Star und 9 bei den World Beer Awards - erstmalig Preis f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r nachhaltige Betriebsf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 xml:space="preserve">hrung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0"/>
                          <w:rtl w:val="0"/>
                        </w:rPr>
                      </w:pP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Weiher, 14. September 2022</w:t>
                      </w:r>
                      <w:r>
                        <w:rPr>
                          <w:rFonts w:ascii="ITC Novarese Std Book" w:hAnsi="ITC Novarese Std Book" w:hint="default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–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Der Medaillenregen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Weiherer Bier rei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t nicht ab. Erneut h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at die Brauerei Kundm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ller drei Auszeichnungen beim European Beer Star gewonnen. Auf der Messe Drinktec in 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nchen durfte das Team um Inhaber Roland und Oswald Kundm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ller neben dem Future Award, einem Preis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besonders nachhaltige Betriebsf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hrung, die Goldmedaille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das Weiherer Summer Ale und Bronze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den Weiherer/Cervejaria Bamberg Rauchbock entgegen nehmen. Dieser wurde bereits kurz zuvor bei den World Beer Awards als Deutschlands bestes Rauchbier pr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miert  - neben 8 weiteren Medaillen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r die Weiherer Biere. </w:t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Das freut das ganze Team, allen voran Gesch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ftsf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hrer Roland Kundm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ller.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Dass wir in den vergangenen Jahren kontinuierlich bei vielen internationalen und wichtigen Awards ausgezeichnet werden, zeigt, wie wichtig uns die Qualit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t unserer Biere ist.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“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Und Bruder Oswald Kundm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ller weiter: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Wir sind sehr stolz, dass wir in diesem Jahr besonders Medaillen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Biere gewonnen haben, die nicht zu den klassischsten Bierstilen z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hlen. Wir leben Biervielfalt. Und das best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tigt uns, unseren Weg so weiter zu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gehen!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“</w:t>
                      </w:r>
                    </w:p>
                    <w:p>
                      <w:pPr>
                        <w:pStyle w:val="Standard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Standard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 xml:space="preserve">Besonders im Fokus steht in diesem Jahr der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erstmal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 xml:space="preserve"> vergebene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en-US"/>
                        </w:rPr>
                        <w:t>Future Award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r vorbildliche und nachhaltige Unternehmensf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hrung. Im Sinne des European Beer Star flie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t neben nachhaltigem Wirtschaften auch die sensorische Qualit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</w:rPr>
                        <w:t xml:space="preserve">t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 xml:space="preserve">–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 xml:space="preserve">also Aussehen, Geruch, Geschmack der Biere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 xml:space="preserve">–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in die Bewertung mit ein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  <w:lang w:val="de-DE"/>
                        </w:rPr>
                        <w:t xml:space="preserve">“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so Stefan Stang, Hauptgesch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ftsf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 xml:space="preserve">hrer Private Brauereien Bayern e.V.,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ber den neu geschaffenen Award.</w:t>
                      </w:r>
                    </w:p>
                    <w:p>
                      <w:pPr>
                        <w:pStyle w:val="Standard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Die Brauerei Kundm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 xml:space="preserve">ller konnte als eine von drei Brauereien die Finaljury am meisten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 xml:space="preserve">berzeugen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 xml:space="preserve">–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sowohl aus Gesichtspunkten der Nachhaltigkeit als auch der Produktqualit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</w:rPr>
                        <w:t xml:space="preserve">t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 xml:space="preserve">–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 xml:space="preserve">und darf sich so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ber den erstmalig vergebenen Future Award freuen.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  <w:lang w:val="de-DE"/>
                        </w:rPr>
                        <w:t xml:space="preserve">“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so Stang weiter.</w:t>
                      </w:r>
                    </w:p>
                    <w:p>
                      <w:pPr>
                        <w:pStyle w:val="Standard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 </w:t>
                      </w: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  <w:spacing w:val="15"/>
          <w:sz w:val="38"/>
          <w:szCs w:val="38"/>
        </w:rPr>
        <w:br w:type="page"/>
      </w:r>
    </w:p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824140</wp:posOffset>
            </wp:positionH>
            <wp:positionV relativeFrom="page">
              <wp:posOffset>720000</wp:posOffset>
            </wp:positionV>
            <wp:extent cx="1095884" cy="883486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8" y="21599"/>
                <wp:lineTo x="21598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WeihBier-BADBL_4c_M-tmp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28130"/>
                    <a:stretch>
                      <a:fillRect/>
                    </a:stretch>
                  </pic:blipFill>
                  <pic:spPr>
                    <a:xfrm>
                      <a:off x="0" y="0"/>
                      <a:ext cx="1095884" cy="883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2175933</wp:posOffset>
            </wp:positionH>
            <wp:positionV relativeFrom="page">
              <wp:posOffset>982593</wp:posOffset>
            </wp:positionV>
            <wp:extent cx="1711733" cy="5739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GKu-Logo_4c_M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33" cy="573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4823668</wp:posOffset>
                </wp:positionH>
                <wp:positionV relativeFrom="page">
                  <wp:posOffset>813765</wp:posOffset>
                </wp:positionV>
                <wp:extent cx="2325564" cy="77697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564" cy="7769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before="140"/>
                              <w:jc w:val="right"/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Brauerei-Gasthof Kundm</w:t>
                            </w:r>
                            <w:r>
                              <w:rPr>
                                <w:rFonts w:ascii="ITC Novarese Std Medium" w:hAnsi="ITC Novarese Std Medium" w:hint="default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ller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Weiher 13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96191 Viereth-Trunstadt</w:t>
                            </w:r>
                          </w:p>
                          <w:p>
                            <w:pPr>
                              <w:pStyle w:val="Text"/>
                              <w:spacing w:before="140"/>
                              <w:jc w:val="right"/>
                            </w:pP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lisa.luginger@brauerei-kundmueller.de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Mobil: +49 151 645 145 72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79.8pt;margin-top:64.1pt;width:183.1pt;height:61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before="140"/>
                        <w:jc w:val="right"/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</w:pP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Brauerei-Gasthof Kundm</w:t>
                      </w:r>
                      <w:r>
                        <w:rPr>
                          <w:rFonts w:ascii="ITC Novarese Std Medium" w:hAnsi="ITC Novarese Std Medium" w:hint="default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ller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Weiher 13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96191 Viereth-Trunstadt</w:t>
                      </w:r>
                    </w:p>
                    <w:p>
                      <w:pPr>
                        <w:pStyle w:val="Text"/>
                        <w:spacing w:before="140"/>
                        <w:jc w:val="right"/>
                      </w:pP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de-DE"/>
                        </w:rPr>
                        <w:t xml:space="preserve">E-Mail: </w:t>
                      </w: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en-US"/>
                        </w:rPr>
                        <w:t>lisa.luginger@brauerei-kundmueller.de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Mobil: +49 151 645 145 72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897020</wp:posOffset>
                </wp:positionH>
                <wp:positionV relativeFrom="page">
                  <wp:posOffset>1929044</wp:posOffset>
                </wp:positionV>
                <wp:extent cx="6252212" cy="7412187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2" cy="74121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Insgesamt</w:t>
                            </w:r>
                            <w:r>
                              <w:rPr>
                                <w:rFonts w:ascii="ITC Novarese Std Book" w:hAnsi="ITC Novarese Std Book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2168 Biere aus 40 L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ndern wetteiferten bei der diesj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hrigen</w:t>
                            </w:r>
                            <w:r>
                              <w:rPr>
                                <w:rFonts w:ascii="ITC Novarese Std Book" w:hAnsi="ITC Novarese Std Book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Ausgabe des renommierten Bierwettbewerbs European Beer Star um einen der begehrten Awards.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Knapp 140 internationale Verkosterinnen und Verkoster, bestehend aus Braumeistern, Fachjournalisten, Biersommeliers und weiteren Bierexperten, haben am 4. und 5. August die Qualit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t der eingesandten Biere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in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73 Kategorien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beurteilt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. Pro Kategorie werden beim European Beer Star nur die jeweils drei besten Biere mit Gold, Silber und Bronze ausgezeichnet. </w:t>
                            </w: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Alle Medaillen: </w:t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80" w:line="288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European Beer Star: </w:t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80" w:line="288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European Beer Star Future Award </w:t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80" w:line="288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European Beer Star Gold Traditional Pale Ale - Weiherer Summer Ale</w:t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80" w:line="288" w:lineRule="auto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European Beer Sta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Bronze Strong Smoked Beer - Weiherer Cervejaria Bamberg Rauchbock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spacing w:after="8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80" w:line="288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World Beer Awards: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after="80" w:line="259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World Beer Award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Bestes Deutsches Rauchbier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“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Weiherer/Cervejaria Bamberg Rauchbock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after="80" w:line="259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World Beer Award in Gold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Weiherer/Cervejaria Bamberg Rauchbock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after="80" w:line="259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World Beer Award in Gold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Weiherer Kr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usen Hell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after="80" w:line="259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World Beer Award in Silber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r Weiherer Landbier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after="80" w:line="259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World Beer Award in Silber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Weiherer Keller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after="80" w:line="259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World Beer Award in Silber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Weiherer Hopfenweizen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after="80" w:line="259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World Beer Award in Bronze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r Weiherer Zwickerla Hell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after="80" w:line="259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World Beer Award in Bronze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r Weiherer Zwickerla Alkoholfrei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after="80" w:line="259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World Beer Award in Bronze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Weiherer OSw-Alt</w:t>
                            </w: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:lang w:val="de-DE"/>
                              </w:rPr>
                              <w:br w:type="textWrapping"/>
                            </w: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  <w:lang w:val="de-DE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70.6pt;margin-top:151.9pt;width:492.3pt;height:583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Insgesamt</w:t>
                      </w:r>
                      <w:r>
                        <w:rPr>
                          <w:rFonts w:ascii="ITC Novarese Std Book" w:hAnsi="ITC Novarese Std Book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2168 Biere aus 40 L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ndern wetteiferten bei der diesj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hrigen</w:t>
                      </w:r>
                      <w:r>
                        <w:rPr>
                          <w:rFonts w:ascii="ITC Novarese Std Book" w:hAnsi="ITC Novarese Std Book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Ausgabe des renommierten Bierwettbewerbs European Beer Star um einen der begehrten Awards.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Knapp 140 internationale Verkosterinnen und Verkoster, bestehend aus Braumeistern, Fachjournalisten, Biersommeliers und weiteren Bierexperten, haben am 4. und 5. August die Qualit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t der eingesandten Biere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in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73 Kategorien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beurteilt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. Pro Kategorie werden beim European Beer Star nur die jeweils drei besten Biere mit Gold, Silber und Bronze ausgezeichnet. </w:t>
                      </w: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Alle Medaillen: </w:t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80" w:line="288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European Beer Star: </w:t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80" w:line="288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European Beer Star Future Award </w:t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80" w:line="288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European Beer Star Gold Traditional Pale Ale - Weiherer Summer Ale</w:t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80" w:line="288" w:lineRule="auto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European Beer Sta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Bronze Strong Smoked Beer - Weiherer Cervejaria Bamberg Rauchbock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after="8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80" w:line="288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World Beer Awards: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after="80" w:line="259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World Beer Award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Bestes Deutsches Rauchbier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“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Weiherer/Cervejaria Bamberg Rauchbock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after="80" w:line="259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World Beer Award in Gold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Weiherer/Cervejaria Bamberg Rauchbock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after="80" w:line="259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World Beer Award in Gold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Weiherer Kr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usen Hell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after="80" w:line="259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World Beer Award in Silber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r Weiherer Landbier 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after="80" w:line="259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World Beer Award in Silber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Weiherer Keller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after="80" w:line="259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World Beer Award in Silber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Weiherer Hopfenweizen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after="80" w:line="259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World Beer Award in Bronze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r Weiherer Zwickerla Hell 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after="80" w:line="259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World Beer Award in Bronze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r Weiherer Zwickerla Alkoholfrei 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after="80" w:line="259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World Beer Award in Bronze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Weiherer OSw-Alt</w:t>
                      </w:r>
                      <w:r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:lang w:val="de-DE"/>
                        </w:rPr>
                        <w:br w:type="textWrapping"/>
                      </w:r>
                      <w:r>
                        <w:rPr>
                          <w:rFonts w:ascii="Calibri" w:cs="Calibri" w:hAnsi="Calibri" w:eastAsia="Calibri"/>
                          <w:u w:color="000000"/>
                          <w:rtl w:val="0"/>
                          <w:lang w:val="de-DE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3572" w:right="680" w:bottom="720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TC Novarese Std Medium">
    <w:charset w:val="00"/>
    <w:family w:val="roman"/>
    <w:pitch w:val="default"/>
  </w:font>
  <w:font w:name="ITC Novarese Std Book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/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